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A0BCB" w14:textId="77777777" w:rsidR="00AD63CB" w:rsidRDefault="00690FF5">
      <w:pPr>
        <w:spacing w:before="68"/>
        <w:ind w:left="151" w:firstLine="1065"/>
        <w:rPr>
          <w:b/>
          <w:sz w:val="28"/>
        </w:rPr>
      </w:pPr>
      <w:proofErr w:type="spellStart"/>
      <w:r>
        <w:rPr>
          <w:b/>
          <w:sz w:val="28"/>
        </w:rPr>
        <w:t>Госжилинспекция</w:t>
      </w:r>
      <w:proofErr w:type="spellEnd"/>
      <w:r>
        <w:rPr>
          <w:b/>
          <w:sz w:val="28"/>
        </w:rPr>
        <w:t xml:space="preserve"> начинает проверять наличие договоров на техническое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обслуживание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внутриквартирного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внутридомового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газового</w:t>
      </w:r>
    </w:p>
    <w:p w14:paraId="50636075" w14:textId="77777777" w:rsidR="00AD63CB" w:rsidRDefault="00690FF5">
      <w:pPr>
        <w:ind w:left="4053"/>
        <w:rPr>
          <w:b/>
          <w:sz w:val="28"/>
        </w:rPr>
      </w:pPr>
      <w:r>
        <w:rPr>
          <w:b/>
          <w:spacing w:val="-2"/>
          <w:sz w:val="28"/>
        </w:rPr>
        <w:t>оборудования</w:t>
      </w:r>
    </w:p>
    <w:p w14:paraId="0F78500F" w14:textId="77777777" w:rsidR="00AD63CB" w:rsidRDefault="00690FF5">
      <w:pPr>
        <w:pStyle w:val="a3"/>
        <w:spacing w:before="322"/>
        <w:ind w:left="111" w:right="134" w:firstLine="408"/>
        <w:jc w:val="both"/>
      </w:pPr>
      <w:r>
        <w:t>Главное управление «Государственная жилищная инспекция Челябинской области» напоминает собственникам газифицированных помещений, что сроки заключения</w:t>
      </w:r>
      <w:r>
        <w:rPr>
          <w:spacing w:val="40"/>
        </w:rPr>
        <w:t xml:space="preserve"> </w:t>
      </w:r>
      <w:r>
        <w:t>договоров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техническое</w:t>
      </w:r>
      <w:r>
        <w:rPr>
          <w:spacing w:val="40"/>
        </w:rPr>
        <w:t xml:space="preserve"> </w:t>
      </w:r>
      <w:r>
        <w:t>обслуживание</w:t>
      </w:r>
      <w:r>
        <w:rPr>
          <w:spacing w:val="40"/>
        </w:rPr>
        <w:t xml:space="preserve"> </w:t>
      </w:r>
      <w:r>
        <w:t>газового</w:t>
      </w:r>
      <w:r>
        <w:rPr>
          <w:spacing w:val="40"/>
        </w:rPr>
        <w:t xml:space="preserve"> </w:t>
      </w:r>
      <w:r>
        <w:t>оборудования</w:t>
      </w:r>
      <w:r>
        <w:rPr>
          <w:spacing w:val="80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gramStart"/>
      <w:r>
        <w:t>многоквартирных</w:t>
      </w:r>
      <w:r>
        <w:rPr>
          <w:spacing w:val="40"/>
        </w:rPr>
        <w:t xml:space="preserve">  </w:t>
      </w:r>
      <w:r>
        <w:t>домах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рамках</w:t>
      </w:r>
      <w:r>
        <w:rPr>
          <w:spacing w:val="40"/>
        </w:rPr>
        <w:t xml:space="preserve">  </w:t>
      </w:r>
      <w:r>
        <w:t>введенных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2023</w:t>
      </w:r>
      <w:r>
        <w:rPr>
          <w:spacing w:val="40"/>
        </w:rPr>
        <w:t xml:space="preserve">  </w:t>
      </w:r>
      <w:r>
        <w:t>году</w:t>
      </w:r>
      <w:r>
        <w:rPr>
          <w:spacing w:val="40"/>
        </w:rPr>
        <w:t xml:space="preserve">  </w:t>
      </w:r>
      <w:r>
        <w:t>изменений в законодательстве завершены.</w:t>
      </w:r>
    </w:p>
    <w:p w14:paraId="15A403FA" w14:textId="77777777" w:rsidR="00AD63CB" w:rsidRDefault="00690FF5">
      <w:pPr>
        <w:pStyle w:val="a3"/>
        <w:ind w:left="111" w:right="134" w:firstLine="408"/>
        <w:jc w:val="both"/>
      </w:pPr>
      <w:r>
        <w:t>Согласно действующему законодательству, для обеспечения безопасной эксплуатации газового оборудования потребитель газа обязан заключить договор на техобслуживание внутридомового и внутриквартирного газового оборудования со специализированной организацией. Техобслуживание – это регулярная проверка исправности газового оборудования, установленного как в частных домах, так и в подъездах и жилых квартирах многоквартирных домов.</w:t>
      </w:r>
    </w:p>
    <w:p w14:paraId="50394DF5" w14:textId="77777777" w:rsidR="00AD63CB" w:rsidRDefault="00690FF5">
      <w:pPr>
        <w:pStyle w:val="a3"/>
        <w:ind w:left="111" w:right="135" w:firstLine="408"/>
        <w:jc w:val="both"/>
      </w:pPr>
      <w:r>
        <w:t>С 1 сентября 2023 года вступили в силу поправки, уточняющие требования</w:t>
      </w:r>
      <w:r>
        <w:rPr>
          <w:spacing w:val="80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 xml:space="preserve">специализированной организации: теперь обслуживать ВДГО/ВКГО могут </w:t>
      </w:r>
      <w:proofErr w:type="gramStart"/>
      <w:r>
        <w:t>только</w:t>
      </w:r>
      <w:r>
        <w:rPr>
          <w:spacing w:val="79"/>
          <w:w w:val="150"/>
        </w:rPr>
        <w:t xml:space="preserve">  </w:t>
      </w:r>
      <w:r>
        <w:t>те</w:t>
      </w:r>
      <w:proofErr w:type="gramEnd"/>
      <w:r>
        <w:rPr>
          <w:spacing w:val="79"/>
          <w:w w:val="150"/>
        </w:rPr>
        <w:t xml:space="preserve">  </w:t>
      </w:r>
      <w:r>
        <w:t>организации,</w:t>
      </w:r>
      <w:r>
        <w:rPr>
          <w:spacing w:val="79"/>
          <w:w w:val="150"/>
        </w:rPr>
        <w:t xml:space="preserve">  </w:t>
      </w:r>
      <w:r>
        <w:t>которые</w:t>
      </w:r>
      <w:r>
        <w:rPr>
          <w:spacing w:val="79"/>
          <w:w w:val="150"/>
        </w:rPr>
        <w:t xml:space="preserve">  </w:t>
      </w:r>
      <w:r>
        <w:t>являются</w:t>
      </w:r>
      <w:r>
        <w:rPr>
          <w:spacing w:val="79"/>
          <w:w w:val="150"/>
        </w:rPr>
        <w:t xml:space="preserve">  </w:t>
      </w:r>
      <w:r>
        <w:t>газораспределительными и</w:t>
      </w:r>
      <w:r>
        <w:rPr>
          <w:spacing w:val="-3"/>
        </w:rPr>
        <w:t xml:space="preserve"> </w:t>
      </w:r>
      <w:r>
        <w:t xml:space="preserve">осуществляют транспортировку газа по газораспределительным сетям до </w:t>
      </w:r>
      <w:r>
        <w:rPr>
          <w:spacing w:val="-2"/>
        </w:rPr>
        <w:t>дома.</w:t>
      </w:r>
    </w:p>
    <w:p w14:paraId="41709C6D" w14:textId="77777777" w:rsidR="00AD63CB" w:rsidRDefault="00690FF5">
      <w:pPr>
        <w:pStyle w:val="a3"/>
        <w:ind w:left="111" w:right="133" w:firstLine="408"/>
        <w:jc w:val="both"/>
      </w:pPr>
      <w:r>
        <w:t>Абоненты, проживающие в многоквартирном доме, обязаны были заключить (перезаключить) договор о техническом обслуживании внутриквартирного газового оборудования со специализированными организациями в срок до 31 декабря 2023 года.</w:t>
      </w:r>
    </w:p>
    <w:p w14:paraId="182DD512" w14:textId="77777777" w:rsidR="00AD63CB" w:rsidRDefault="00690FF5">
      <w:pPr>
        <w:pStyle w:val="a3"/>
        <w:ind w:left="111" w:right="133" w:firstLine="408"/>
        <w:jc w:val="both"/>
      </w:pPr>
      <w:r>
        <w:t>Собственники помещений в многоквартирных домах, которые находятся на непосредственном</w:t>
      </w:r>
      <w:r>
        <w:rPr>
          <w:spacing w:val="-1"/>
        </w:rPr>
        <w:t xml:space="preserve"> </w:t>
      </w:r>
      <w:r>
        <w:t>способе</w:t>
      </w:r>
      <w:r>
        <w:rPr>
          <w:spacing w:val="-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управления,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определить на общем собрании лицо, которое от имени всех жильцов заключает договор на техническое обслуживание внутридомового газового оборудования – общего имущества. Оплата обслуживания ВДГО должна производиться каждым собственником помещения в</w:t>
      </w:r>
      <w:r>
        <w:rPr>
          <w:spacing w:val="-3"/>
        </w:rPr>
        <w:t xml:space="preserve"> </w:t>
      </w:r>
      <w:r>
        <w:t>размере, пропорциональном его доле в</w:t>
      </w:r>
      <w:r>
        <w:rPr>
          <w:spacing w:val="-3"/>
        </w:rPr>
        <w:t xml:space="preserve"> </w:t>
      </w:r>
      <w:r>
        <w:t>праве общей собственности на</w:t>
      </w:r>
      <w:r>
        <w:rPr>
          <w:spacing w:val="-2"/>
        </w:rPr>
        <w:t xml:space="preserve"> </w:t>
      </w:r>
      <w:r>
        <w:t>общее имущество. Договор на техническое обслуживание внутриквартирного газового оборудования заключается каждым собственником самостоятельно.</w:t>
      </w:r>
    </w:p>
    <w:p w14:paraId="3153D45A" w14:textId="77777777" w:rsidR="00AD63CB" w:rsidRDefault="00690FF5">
      <w:pPr>
        <w:pStyle w:val="a3"/>
        <w:ind w:left="111" w:right="133" w:firstLine="408"/>
        <w:jc w:val="both"/>
      </w:pPr>
      <w:r>
        <w:t xml:space="preserve">На территории Челябинской области работает 14 газораспределительных организаций, у каждой из них своя зона ответственности. В целях своевременного заключения договора на техническое обслуживание внутриквартирного газового оборудования некоторые организации направили абонентам квитанцию на оплату с новой строкой «Техническое обслуживание внутриквартирного газового оборудования». Выполненный собственником платеж по данному счету считается согласием на оформление договора. Чтобы узнать, с какой именно организацией необходимо заключить договор, </w:t>
      </w:r>
      <w:proofErr w:type="gramStart"/>
      <w:r>
        <w:t>потребители,</w:t>
      </w:r>
      <w:r>
        <w:rPr>
          <w:spacing w:val="40"/>
        </w:rPr>
        <w:t xml:space="preserve">  </w:t>
      </w:r>
      <w:r>
        <w:t>проживающие</w:t>
      </w:r>
      <w:proofErr w:type="gramEnd"/>
      <w:r>
        <w:rPr>
          <w:spacing w:val="40"/>
        </w:rPr>
        <w:t xml:space="preserve">  </w:t>
      </w:r>
      <w:r>
        <w:t>в</w:t>
      </w:r>
      <w:r>
        <w:rPr>
          <w:spacing w:val="-3"/>
        </w:rPr>
        <w:t xml:space="preserve"> </w:t>
      </w:r>
      <w:r>
        <w:t>многоквартирных</w:t>
      </w:r>
      <w:r>
        <w:rPr>
          <w:spacing w:val="40"/>
        </w:rPr>
        <w:t xml:space="preserve">  </w:t>
      </w:r>
      <w:r>
        <w:t>домах,</w:t>
      </w:r>
      <w:r>
        <w:rPr>
          <w:spacing w:val="40"/>
        </w:rPr>
        <w:t xml:space="preserve">  </w:t>
      </w:r>
      <w:r>
        <w:t>могут</w:t>
      </w:r>
      <w:r>
        <w:rPr>
          <w:spacing w:val="40"/>
        </w:rPr>
        <w:t xml:space="preserve">  </w:t>
      </w:r>
      <w:r>
        <w:t>обратиться в администрацию города или в свою управляющую организацию.</w:t>
      </w:r>
    </w:p>
    <w:p w14:paraId="78065F1A" w14:textId="77777777" w:rsidR="00AD63CB" w:rsidRDefault="00690FF5">
      <w:pPr>
        <w:pStyle w:val="a3"/>
        <w:ind w:left="111" w:right="133" w:firstLine="408"/>
        <w:jc w:val="both"/>
      </w:pPr>
      <w:r>
        <w:t>По данным газораспределительных организаций, около 20% пользователей газа в Челябинской области до настоящего момента не приступили к заключению договоров. Учитывая, что с 1 января 2025 сняты ограничения для проведения</w:t>
      </w:r>
      <w:r>
        <w:rPr>
          <w:spacing w:val="44"/>
        </w:rPr>
        <w:t xml:space="preserve"> </w:t>
      </w:r>
      <w:r>
        <w:t>органами</w:t>
      </w:r>
      <w:r>
        <w:rPr>
          <w:spacing w:val="45"/>
        </w:rPr>
        <w:t xml:space="preserve"> </w:t>
      </w:r>
      <w:r>
        <w:t>государственного</w:t>
      </w:r>
      <w:r>
        <w:rPr>
          <w:spacing w:val="45"/>
        </w:rPr>
        <w:t xml:space="preserve"> </w:t>
      </w:r>
      <w:r>
        <w:t>жилищного</w:t>
      </w:r>
      <w:r>
        <w:rPr>
          <w:spacing w:val="45"/>
        </w:rPr>
        <w:t xml:space="preserve"> </w:t>
      </w:r>
      <w:r>
        <w:t>надзора</w:t>
      </w:r>
      <w:r>
        <w:rPr>
          <w:spacing w:val="45"/>
        </w:rPr>
        <w:t xml:space="preserve"> </w:t>
      </w:r>
      <w:r>
        <w:t>некоторых</w:t>
      </w:r>
      <w:r>
        <w:rPr>
          <w:spacing w:val="45"/>
        </w:rPr>
        <w:t xml:space="preserve"> </w:t>
      </w:r>
      <w:r>
        <w:rPr>
          <w:spacing w:val="-4"/>
        </w:rPr>
        <w:t>видов</w:t>
      </w:r>
    </w:p>
    <w:p w14:paraId="277B638E" w14:textId="77777777" w:rsidR="00AD63CB" w:rsidRDefault="00AD63CB">
      <w:pPr>
        <w:jc w:val="both"/>
        <w:sectPr w:rsidR="00AD63CB">
          <w:pgSz w:w="11910" w:h="16840"/>
          <w:pgMar w:top="960" w:right="720" w:bottom="280" w:left="1300" w:header="720" w:footer="720" w:gutter="0"/>
          <w:cols w:space="720"/>
        </w:sectPr>
      </w:pPr>
    </w:p>
    <w:p w14:paraId="43A702D9" w14:textId="77777777" w:rsidR="00AD63CB" w:rsidRDefault="00690FF5">
      <w:pPr>
        <w:pStyle w:val="a3"/>
        <w:spacing w:before="66"/>
        <w:ind w:left="110" w:right="135"/>
        <w:jc w:val="both"/>
      </w:pPr>
      <w:r>
        <w:lastRenderedPageBreak/>
        <w:t xml:space="preserve">контрольно-надзорных мероприятий в отношении собственников помещений, которые уклоняются от заключения договоров на техническое обслуживание ВДГО/ВКГО, </w:t>
      </w:r>
      <w:proofErr w:type="spellStart"/>
      <w:r>
        <w:t>Госжилинспекция</w:t>
      </w:r>
      <w:proofErr w:type="spellEnd"/>
      <w:r>
        <w:t xml:space="preserve"> при поступлении информации о не заключении договора будет проводить контрольно-надзорные мероприятия.</w:t>
      </w:r>
    </w:p>
    <w:p w14:paraId="79250483" w14:textId="77777777" w:rsidR="00AD63CB" w:rsidRDefault="00690FF5">
      <w:pPr>
        <w:pStyle w:val="a3"/>
        <w:spacing w:before="322"/>
        <w:ind w:left="110" w:right="135" w:firstLine="408"/>
        <w:jc w:val="both"/>
      </w:pPr>
      <w:r>
        <w:t>За уклонение от заключения договоров на техническое обслуживание внутридомового и внутриквартирного газового оборудования предусмотрена административная ответственность с наложение штрафа:</w:t>
      </w:r>
    </w:p>
    <w:p w14:paraId="1C2B12F3" w14:textId="77777777" w:rsidR="00AD63CB" w:rsidRDefault="00690FF5">
      <w:pPr>
        <w:pStyle w:val="a5"/>
        <w:numPr>
          <w:ilvl w:val="0"/>
          <w:numId w:val="1"/>
        </w:numPr>
        <w:tabs>
          <w:tab w:val="left" w:pos="681"/>
        </w:tabs>
        <w:ind w:left="681" w:hanging="16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десяти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3B82A368" w14:textId="77777777" w:rsidR="00AD63CB" w:rsidRDefault="00690FF5">
      <w:pPr>
        <w:pStyle w:val="a5"/>
        <w:numPr>
          <w:ilvl w:val="0"/>
          <w:numId w:val="1"/>
        </w:numPr>
        <w:tabs>
          <w:tab w:val="left" w:pos="681"/>
        </w:tabs>
        <w:ind w:left="681" w:hanging="16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двадцати</w:t>
      </w:r>
      <w:r>
        <w:rPr>
          <w:spacing w:val="-2"/>
          <w:sz w:val="28"/>
        </w:rPr>
        <w:t xml:space="preserve"> </w:t>
      </w:r>
      <w:r>
        <w:rPr>
          <w:sz w:val="28"/>
        </w:rPr>
        <w:t>пяти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ста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рублей;</w:t>
      </w:r>
    </w:p>
    <w:p w14:paraId="1DC3B04A" w14:textId="77777777" w:rsidR="00AD63CB" w:rsidRDefault="00690FF5">
      <w:pPr>
        <w:pStyle w:val="a5"/>
        <w:numPr>
          <w:ilvl w:val="0"/>
          <w:numId w:val="1"/>
        </w:numPr>
        <w:tabs>
          <w:tab w:val="left" w:pos="681"/>
        </w:tabs>
        <w:ind w:left="681" w:hanging="163"/>
        <w:rPr>
          <w:sz w:val="28"/>
        </w:rPr>
      </w:pP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лиц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двухсот</w:t>
      </w:r>
      <w:r>
        <w:rPr>
          <w:spacing w:val="-1"/>
          <w:sz w:val="28"/>
        </w:rPr>
        <w:t xml:space="preserve"> </w:t>
      </w:r>
      <w:r>
        <w:rPr>
          <w:sz w:val="28"/>
        </w:rPr>
        <w:t>тысяч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пятисот</w:t>
      </w:r>
      <w:r>
        <w:rPr>
          <w:spacing w:val="-2"/>
          <w:sz w:val="28"/>
        </w:rPr>
        <w:t xml:space="preserve"> </w:t>
      </w:r>
      <w:r>
        <w:rPr>
          <w:sz w:val="28"/>
        </w:rPr>
        <w:t>тысяч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рублей.</w:t>
      </w:r>
    </w:p>
    <w:p w14:paraId="774EC2BF" w14:textId="77777777" w:rsidR="00AD63CB" w:rsidRDefault="00690FF5">
      <w:pPr>
        <w:pStyle w:val="a3"/>
        <w:ind w:left="110" w:right="136" w:firstLine="408"/>
        <w:jc w:val="both"/>
      </w:pPr>
      <w:r>
        <w:t>Также в случае отсутствия договора поставщик газа может приостановить подачу газа потребителю после направления уведомления.</w:t>
      </w:r>
    </w:p>
    <w:p w14:paraId="23921E9C" w14:textId="77777777" w:rsidR="00AD63CB" w:rsidRDefault="00AD63CB">
      <w:pPr>
        <w:pStyle w:val="a3"/>
        <w:spacing w:before="321"/>
      </w:pPr>
    </w:p>
    <w:p w14:paraId="37AD1F03" w14:textId="77777777" w:rsidR="00AD63CB" w:rsidRDefault="00690FF5">
      <w:pPr>
        <w:tabs>
          <w:tab w:val="left" w:pos="2512"/>
          <w:tab w:val="left" w:pos="3134"/>
          <w:tab w:val="left" w:pos="5298"/>
          <w:tab w:val="left" w:pos="6339"/>
          <w:tab w:val="left" w:pos="8016"/>
          <w:tab w:val="left" w:pos="8809"/>
        </w:tabs>
        <w:spacing w:before="1"/>
        <w:ind w:left="518"/>
        <w:rPr>
          <w:b/>
          <w:i/>
          <w:sz w:val="28"/>
        </w:rPr>
      </w:pPr>
      <w:r>
        <w:rPr>
          <w:b/>
          <w:i/>
          <w:spacing w:val="-2"/>
          <w:sz w:val="28"/>
        </w:rPr>
        <w:t>Пресс-релиз</w:t>
      </w:r>
      <w:r>
        <w:rPr>
          <w:b/>
          <w:i/>
          <w:sz w:val="28"/>
        </w:rPr>
        <w:tab/>
      </w:r>
      <w:r>
        <w:rPr>
          <w:b/>
          <w:i/>
          <w:spacing w:val="-10"/>
          <w:sz w:val="28"/>
        </w:rPr>
        <w:t>в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электронном</w:t>
      </w:r>
      <w:r>
        <w:rPr>
          <w:b/>
          <w:i/>
          <w:sz w:val="28"/>
        </w:rPr>
        <w:tab/>
      </w:r>
      <w:r>
        <w:rPr>
          <w:b/>
          <w:i/>
          <w:spacing w:val="-4"/>
          <w:sz w:val="28"/>
        </w:rPr>
        <w:t>виде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доступен</w:t>
      </w:r>
      <w:r>
        <w:rPr>
          <w:b/>
          <w:i/>
          <w:sz w:val="28"/>
        </w:rPr>
        <w:tab/>
      </w:r>
      <w:r>
        <w:rPr>
          <w:b/>
          <w:i/>
          <w:spacing w:val="-5"/>
          <w:sz w:val="28"/>
        </w:rPr>
        <w:t>по</w:t>
      </w:r>
      <w:r>
        <w:rPr>
          <w:b/>
          <w:i/>
          <w:sz w:val="28"/>
        </w:rPr>
        <w:tab/>
      </w:r>
      <w:r>
        <w:rPr>
          <w:b/>
          <w:i/>
          <w:spacing w:val="-2"/>
          <w:sz w:val="28"/>
        </w:rPr>
        <w:t>ссылке:</w:t>
      </w:r>
    </w:p>
    <w:p w14:paraId="078B95DA" w14:textId="77777777" w:rsidR="00AD63CB" w:rsidRDefault="00690FF5">
      <w:pPr>
        <w:ind w:left="110"/>
        <w:rPr>
          <w:b/>
          <w:sz w:val="28"/>
        </w:rPr>
      </w:pPr>
      <w:r>
        <w:rPr>
          <w:b/>
          <w:spacing w:val="-2"/>
          <w:sz w:val="28"/>
        </w:rPr>
        <w:t>https://disk.yandex.ru/i/qZOOUNb6g9KE4A</w:t>
      </w:r>
    </w:p>
    <w:sectPr w:rsidR="00AD63CB">
      <w:pgSz w:w="11910" w:h="16840"/>
      <w:pgMar w:top="640" w:right="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85285"/>
    <w:multiLevelType w:val="hybridMultilevel"/>
    <w:tmpl w:val="F59E4ADA"/>
    <w:lvl w:ilvl="0" w:tplc="017C70FE">
      <w:numFmt w:val="bullet"/>
      <w:lvlText w:val="-"/>
      <w:lvlJc w:val="left"/>
      <w:pPr>
        <w:ind w:left="68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0AE17CA">
      <w:numFmt w:val="bullet"/>
      <w:lvlText w:val="•"/>
      <w:lvlJc w:val="left"/>
      <w:pPr>
        <w:ind w:left="1600" w:hanging="164"/>
      </w:pPr>
      <w:rPr>
        <w:rFonts w:hint="default"/>
        <w:lang w:val="ru-RU" w:eastAsia="en-US" w:bidi="ar-SA"/>
      </w:rPr>
    </w:lvl>
    <w:lvl w:ilvl="2" w:tplc="04521178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A458413E">
      <w:numFmt w:val="bullet"/>
      <w:lvlText w:val="•"/>
      <w:lvlJc w:val="left"/>
      <w:pPr>
        <w:ind w:left="3442" w:hanging="164"/>
      </w:pPr>
      <w:rPr>
        <w:rFonts w:hint="default"/>
        <w:lang w:val="ru-RU" w:eastAsia="en-US" w:bidi="ar-SA"/>
      </w:rPr>
    </w:lvl>
    <w:lvl w:ilvl="4" w:tplc="68AE4114">
      <w:numFmt w:val="bullet"/>
      <w:lvlText w:val="•"/>
      <w:lvlJc w:val="left"/>
      <w:pPr>
        <w:ind w:left="4363" w:hanging="164"/>
      </w:pPr>
      <w:rPr>
        <w:rFonts w:hint="default"/>
        <w:lang w:val="ru-RU" w:eastAsia="en-US" w:bidi="ar-SA"/>
      </w:rPr>
    </w:lvl>
    <w:lvl w:ilvl="5" w:tplc="F126D966">
      <w:numFmt w:val="bullet"/>
      <w:lvlText w:val="•"/>
      <w:lvlJc w:val="left"/>
      <w:pPr>
        <w:ind w:left="5284" w:hanging="164"/>
      </w:pPr>
      <w:rPr>
        <w:rFonts w:hint="default"/>
        <w:lang w:val="ru-RU" w:eastAsia="en-US" w:bidi="ar-SA"/>
      </w:rPr>
    </w:lvl>
    <w:lvl w:ilvl="6" w:tplc="AEBA9648">
      <w:numFmt w:val="bullet"/>
      <w:lvlText w:val="•"/>
      <w:lvlJc w:val="left"/>
      <w:pPr>
        <w:ind w:left="6205" w:hanging="164"/>
      </w:pPr>
      <w:rPr>
        <w:rFonts w:hint="default"/>
        <w:lang w:val="ru-RU" w:eastAsia="en-US" w:bidi="ar-SA"/>
      </w:rPr>
    </w:lvl>
    <w:lvl w:ilvl="7" w:tplc="EF1A53BC">
      <w:numFmt w:val="bullet"/>
      <w:lvlText w:val="•"/>
      <w:lvlJc w:val="left"/>
      <w:pPr>
        <w:ind w:left="7126" w:hanging="164"/>
      </w:pPr>
      <w:rPr>
        <w:rFonts w:hint="default"/>
        <w:lang w:val="ru-RU" w:eastAsia="en-US" w:bidi="ar-SA"/>
      </w:rPr>
    </w:lvl>
    <w:lvl w:ilvl="8" w:tplc="E4508B9E">
      <w:numFmt w:val="bullet"/>
      <w:lvlText w:val="•"/>
      <w:lvlJc w:val="left"/>
      <w:pPr>
        <w:ind w:left="8047" w:hanging="164"/>
      </w:pPr>
      <w:rPr>
        <w:rFonts w:hint="default"/>
        <w:lang w:val="ru-RU" w:eastAsia="en-US" w:bidi="ar-SA"/>
      </w:rPr>
    </w:lvl>
  </w:abstractNum>
  <w:num w:numId="1" w16cid:durableId="1832482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CB"/>
    <w:rsid w:val="00215B1E"/>
    <w:rsid w:val="00690FF5"/>
    <w:rsid w:val="007A59F7"/>
    <w:rsid w:val="00AD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FBB44"/>
  <w15:docId w15:val="{25AF8C2F-DB5C-4241-BC76-D7D5F66C8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right="15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681" w:hanging="16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</dc:creator>
  <cp:lastModifiedBy>User</cp:lastModifiedBy>
  <cp:revision>2</cp:revision>
  <dcterms:created xsi:type="dcterms:W3CDTF">2025-01-22T11:27:00Z</dcterms:created>
  <dcterms:modified xsi:type="dcterms:W3CDTF">2025-01-22T11:27:00Z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